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C4BD" w14:textId="55155A8A" w:rsidR="004D19C6" w:rsidRPr="004D19C6" w:rsidRDefault="004D19C6" w:rsidP="004D19C6">
      <w:pPr>
        <w:shd w:val="clear" w:color="auto" w:fill="FEFEFE"/>
        <w:spacing w:before="100" w:beforeAutospacing="1" w:after="100" w:afterAutospacing="1" w:line="240" w:lineRule="atLeast"/>
        <w:jc w:val="center"/>
        <w:outlineLvl w:val="0"/>
        <w:rPr>
          <w:rFonts w:eastAsia="Times New Roman" w:cs="Times New Roman"/>
          <w:caps/>
          <w:color w:val="0062A7"/>
          <w:kern w:val="36"/>
          <w:sz w:val="48"/>
          <w:szCs w:val="48"/>
          <w:lang w:eastAsia="ru-RU"/>
        </w:rPr>
      </w:pPr>
      <w:r w:rsidRPr="004D19C6">
        <w:rPr>
          <w:rFonts w:ascii="HeliosCond" w:eastAsia="Times New Roman" w:hAnsi="HeliosCond" w:cs="Times New Roman"/>
          <w:caps/>
          <w:color w:val="0062A7"/>
          <w:kern w:val="36"/>
          <w:sz w:val="48"/>
          <w:szCs w:val="48"/>
          <w:lang w:eastAsia="ru-RU"/>
        </w:rPr>
        <w:t xml:space="preserve">ПРИКАЗ "ОБ УТВЕРЖДЕНИИ ПЕРЕЧНЯ ПЛАТНЫХ УСЛУГ ПО ОСНОВНЫМ ВИДАМ ДЕЯТЕЛЬНОСТИ </w:t>
      </w:r>
      <w:r w:rsidRPr="004D19C6">
        <w:rPr>
          <w:rFonts w:ascii="HeliosCond" w:eastAsia="Times New Roman" w:hAnsi="HeliosCond" w:cs="Times New Roman"/>
          <w:caps/>
          <w:color w:val="0062A7"/>
          <w:kern w:val="36"/>
          <w:sz w:val="48"/>
          <w:szCs w:val="48"/>
          <w:lang w:eastAsia="ru-RU"/>
        </w:rPr>
        <w:t>ГБУ «ГРРДТ им. М.ГорЬкого»</w:t>
      </w:r>
      <w:r w:rsidRPr="004D19C6">
        <w:rPr>
          <w:rFonts w:ascii="HeliosCond" w:eastAsia="Times New Roman" w:hAnsi="HeliosCond" w:cs="Times New Roman"/>
          <w:caps/>
          <w:color w:val="0062A7"/>
          <w:kern w:val="36"/>
          <w:sz w:val="48"/>
          <w:szCs w:val="48"/>
          <w:lang w:eastAsia="ru-RU"/>
        </w:rPr>
        <w:t xml:space="preserve"> ОТ 31.1</w:t>
      </w:r>
      <w:r>
        <w:rPr>
          <w:rFonts w:eastAsia="Times New Roman" w:cs="Times New Roman"/>
          <w:caps/>
          <w:color w:val="0062A7"/>
          <w:kern w:val="36"/>
          <w:sz w:val="48"/>
          <w:szCs w:val="48"/>
          <w:lang w:eastAsia="ru-RU"/>
        </w:rPr>
        <w:t>2</w:t>
      </w:r>
      <w:r w:rsidRPr="004D19C6">
        <w:rPr>
          <w:rFonts w:ascii="HeliosCond" w:eastAsia="Times New Roman" w:hAnsi="HeliosCond" w:cs="Times New Roman"/>
          <w:caps/>
          <w:color w:val="0062A7"/>
          <w:kern w:val="36"/>
          <w:sz w:val="48"/>
          <w:szCs w:val="48"/>
          <w:lang w:eastAsia="ru-RU"/>
        </w:rPr>
        <w:t>.2022 №</w:t>
      </w:r>
      <w:r>
        <w:rPr>
          <w:rFonts w:eastAsia="Times New Roman" w:cs="Times New Roman"/>
          <w:caps/>
          <w:color w:val="0062A7"/>
          <w:kern w:val="36"/>
          <w:sz w:val="48"/>
          <w:szCs w:val="48"/>
          <w:lang w:eastAsia="ru-RU"/>
        </w:rPr>
        <w:t>168-А</w:t>
      </w:r>
    </w:p>
    <w:p w14:paraId="64216F1C" w14:textId="77777777" w:rsidR="004D19C6" w:rsidRPr="004D19C6" w:rsidRDefault="004D19C6" w:rsidP="004D19C6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Приложение</w:t>
      </w:r>
    </w:p>
    <w:p w14:paraId="71B066F3" w14:textId="6A5B3023" w:rsidR="004D19C6" w:rsidRPr="004D19C6" w:rsidRDefault="004D19C6" w:rsidP="004D19C6">
      <w:pPr>
        <w:shd w:val="clear" w:color="auto" w:fill="FEFEFE"/>
        <w:spacing w:before="100" w:beforeAutospacing="1" w:after="100" w:afterAutospacing="1" w:line="240" w:lineRule="auto"/>
        <w:jc w:val="right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к Приказу № 1</w:t>
      </w: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68-А</w:t>
      </w: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 xml:space="preserve"> от 31 октября 2022 г.</w:t>
      </w:r>
    </w:p>
    <w:p w14:paraId="176A7A0E" w14:textId="77777777" w:rsidR="004D19C6" w:rsidRPr="004D19C6" w:rsidRDefault="004D19C6" w:rsidP="004D19C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 </w:t>
      </w:r>
    </w:p>
    <w:p w14:paraId="6AD935A3" w14:textId="77777777" w:rsidR="004D19C6" w:rsidRPr="004D19C6" w:rsidRDefault="004D19C6" w:rsidP="004D19C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4D19C6">
        <w:rPr>
          <w:rFonts w:ascii="HeliosCond" w:eastAsia="Times New Roman" w:hAnsi="HeliosCond" w:cs="Times New Roman"/>
          <w:b/>
          <w:bCs/>
          <w:color w:val="0A0A0A"/>
          <w:sz w:val="24"/>
          <w:szCs w:val="24"/>
          <w:lang w:eastAsia="ru-RU"/>
        </w:rPr>
        <w:t>ПЕРЕЧЕНЬ</w:t>
      </w:r>
    </w:p>
    <w:p w14:paraId="29EBA427" w14:textId="77777777" w:rsidR="004D19C6" w:rsidRPr="004D19C6" w:rsidRDefault="004D19C6" w:rsidP="004D19C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4D19C6">
        <w:rPr>
          <w:rFonts w:ascii="HeliosCond" w:eastAsia="Times New Roman" w:hAnsi="HeliosCond" w:cs="Times New Roman"/>
          <w:b/>
          <w:bCs/>
          <w:color w:val="0A0A0A"/>
          <w:sz w:val="24"/>
          <w:szCs w:val="24"/>
          <w:lang w:eastAsia="ru-RU"/>
        </w:rPr>
        <w:t>платных услуг и размер платы за услуги по основным видам деятельности</w:t>
      </w:r>
    </w:p>
    <w:p w14:paraId="50054269" w14:textId="66139BF8" w:rsidR="004D19C6" w:rsidRPr="004D19C6" w:rsidRDefault="004D19C6" w:rsidP="004D19C6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 xml:space="preserve">Стоимость организации и проведения мероприятий в залах </w:t>
      </w: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ГБУ «ГРРДТ им. М.</w:t>
      </w:r>
      <w:r>
        <w:rPr>
          <w:rFonts w:eastAsia="Times New Roman" w:cs="Times New Roman"/>
          <w:color w:val="0A0A0A"/>
          <w:sz w:val="24"/>
          <w:szCs w:val="24"/>
          <w:lang w:eastAsia="ru-RU"/>
        </w:rPr>
        <w:t xml:space="preserve"> </w:t>
      </w: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Горького»: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3"/>
        <w:gridCol w:w="3695"/>
      </w:tblGrid>
      <w:tr w:rsidR="004D19C6" w:rsidRPr="004D19C6" w14:paraId="32501FFC" w14:textId="77777777" w:rsidTr="00554DF0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929A" w14:textId="77777777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23B2" w14:textId="77777777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учетом НДС 20%</w:t>
            </w:r>
          </w:p>
        </w:tc>
      </w:tr>
      <w:tr w:rsidR="004D19C6" w:rsidRPr="004D19C6" w14:paraId="2BAAC73B" w14:textId="77777777" w:rsidTr="00554DF0">
        <w:trPr>
          <w:trHeight w:val="5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6E7C27D" w14:textId="0969868F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организации и проведения одного мероприятия в Большом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10:00 до 22:00)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41D1B3D" w14:textId="2BB88E7F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19C6" w:rsidRPr="004D19C6" w14:paraId="19B71CFD" w14:textId="77777777" w:rsidTr="00554DF0">
        <w:trPr>
          <w:trHeight w:val="5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9F4A1" w14:textId="32B84452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дневного монтажа (демонтажа) декораций в Большом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10:00 до 22:00)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AA84C" w14:textId="1DF07BF5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54DF0" w:rsidRPr="004D19C6" w14:paraId="73368C18" w14:textId="77777777" w:rsidTr="00554DF0">
        <w:trPr>
          <w:trHeight w:val="5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97EB7" w14:textId="3CCC0EC0" w:rsidR="00554DF0" w:rsidRPr="004D19C6" w:rsidRDefault="00554DF0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одного мероприятия в случае благотворительного показа в Большом зале 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10:00 до 22:00)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3EEDD2" w14:textId="0B604027" w:rsidR="00554DF0" w:rsidRPr="004D19C6" w:rsidRDefault="00554DF0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4D19C6" w:rsidRPr="004D19C6" w14:paraId="33FA7093" w14:textId="77777777" w:rsidTr="00554DF0">
        <w:trPr>
          <w:trHeight w:val="5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0DFE44A" w14:textId="2403CEA2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ночного монтажа (демонтажа) декораций в Большом зале (с 23:00 до 06:00)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845AC93" w14:textId="070C4045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D19C6" w:rsidRPr="004D19C6" w14:paraId="07EC5221" w14:textId="77777777" w:rsidTr="00554DF0">
        <w:trPr>
          <w:trHeight w:val="5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D83D5" w14:textId="7B8367D9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организации и проведения одного мероприятия в Малом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10:00 до 22:00)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74058" w14:textId="6089A05C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D19C6" w:rsidRPr="004D19C6" w14:paraId="0F282B27" w14:textId="77777777" w:rsidTr="00554DF0">
        <w:trPr>
          <w:trHeight w:val="5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0176D85" w14:textId="2EC2F769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проведения одного дневного монтажа (демонтажа) в Малом зале (с 10:00 до 22:00)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DD13D43" w14:textId="14524C3B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554DF0" w:rsidRPr="004D19C6" w14:paraId="15841C90" w14:textId="77777777" w:rsidTr="00554DF0">
        <w:trPr>
          <w:trHeight w:val="5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14:paraId="5E60267D" w14:textId="531F03D3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одного мероприятия в случае благотворительного показа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10:00 до 22:00)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</w:tcPr>
          <w:p w14:paraId="29B16533" w14:textId="3C30D507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554DF0" w:rsidRPr="004D19C6" w14:paraId="06AF2880" w14:textId="77777777" w:rsidTr="00554DF0">
        <w:trPr>
          <w:trHeight w:val="5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C3BBB" w14:textId="5C7DC8B0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ночного монтажа (демонтажа) декораций в Малом зале (с 23:00 до 06:00)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3020" w14:textId="76087989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554DF0" w:rsidRPr="004D19C6" w14:paraId="2DC6781A" w14:textId="77777777" w:rsidTr="00554DF0">
        <w:trPr>
          <w:trHeight w:val="5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D6594" w14:textId="644F3E3C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комплекта билетов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Большом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зале (708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E9A69" w14:textId="77777777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554DF0" w:rsidRPr="004D19C6" w14:paraId="47B055C6" w14:textId="77777777" w:rsidTr="00554DF0">
        <w:trPr>
          <w:trHeight w:val="5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768DB" w14:textId="23BD8E3B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изготовления комплекта билетов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E67C8" w14:textId="4B8835CE" w:rsidR="00554DF0" w:rsidRPr="004D19C6" w:rsidRDefault="00554DF0" w:rsidP="00554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14:paraId="31FA3BA3" w14:textId="77777777" w:rsidR="004D19C6" w:rsidRPr="004D19C6" w:rsidRDefault="004D19C6" w:rsidP="004D19C6">
      <w:pPr>
        <w:shd w:val="clear" w:color="auto" w:fill="FEFEFE"/>
        <w:spacing w:after="0" w:line="240" w:lineRule="auto"/>
        <w:jc w:val="both"/>
        <w:rPr>
          <w:rFonts w:ascii="HeliosCond" w:eastAsia="Times New Roman" w:hAnsi="HeliosCond" w:cs="Times New Roman"/>
          <w:vanish/>
          <w:color w:val="0A0A0A"/>
          <w:sz w:val="24"/>
          <w:szCs w:val="24"/>
          <w:lang w:eastAsia="ru-RU"/>
        </w:rPr>
      </w:pP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2"/>
        <w:gridCol w:w="3686"/>
      </w:tblGrid>
      <w:tr w:rsidR="004D19C6" w:rsidRPr="004D19C6" w14:paraId="006D5D36" w14:textId="77777777" w:rsidTr="00554DF0">
        <w:trPr>
          <w:trHeight w:val="430"/>
        </w:trPr>
        <w:tc>
          <w:tcPr>
            <w:tcW w:w="1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ACE9" w14:textId="41D4C8C3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проверки QR-кодов зрителей на одно мероприятие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C5888" w14:textId="0A595023" w:rsidR="004D19C6" w:rsidRPr="004D19C6" w:rsidRDefault="004D19C6" w:rsidP="004D19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D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14:paraId="5CCCED5F" w14:textId="14B9C5F8" w:rsidR="004D19C6" w:rsidRPr="004D19C6" w:rsidRDefault="004D19C6" w:rsidP="004D19C6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</w:pPr>
      <w:r w:rsidRPr="004D19C6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>Стоимость</w:t>
      </w:r>
      <w:r w:rsidRPr="00554DF0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 xml:space="preserve"> обслуживания мероприятия</w:t>
      </w:r>
      <w:r w:rsidR="00554DF0" w:rsidRPr="00554DF0">
        <w:rPr>
          <w:rFonts w:ascii="HeliosCond" w:eastAsia="Times New Roman" w:hAnsi="HeliosCond" w:cs="Times New Roman"/>
          <w:color w:val="0A0A0A"/>
          <w:sz w:val="24"/>
          <w:szCs w:val="24"/>
          <w:lang w:eastAsia="ru-RU"/>
        </w:rPr>
        <w:t xml:space="preserve"> службами театра (монтировочный цех, осветительный цех, звуковой цех) по договоренности с заключением самостоятельных договоров ГПХ. </w:t>
      </w:r>
    </w:p>
    <w:p w14:paraId="4B0939F0" w14:textId="77777777" w:rsidR="0000794A" w:rsidRPr="004D19C6" w:rsidRDefault="0000794A">
      <w:pPr>
        <w:rPr>
          <w:rFonts w:ascii="HeliosCond" w:hAnsi="HeliosCond"/>
        </w:rPr>
      </w:pPr>
    </w:p>
    <w:sectPr w:rsidR="0000794A" w:rsidRPr="004D19C6" w:rsidSect="004D1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1262"/>
    <w:multiLevelType w:val="multilevel"/>
    <w:tmpl w:val="E8D84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86D0C"/>
    <w:multiLevelType w:val="multilevel"/>
    <w:tmpl w:val="57EEC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4A"/>
    <w:rsid w:val="0000794A"/>
    <w:rsid w:val="004D19C6"/>
    <w:rsid w:val="005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E306"/>
  <w15:chartTrackingRefBased/>
  <w15:docId w15:val="{58B8FAA0-C1A7-40BA-9A5B-BDCE617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1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Magomedov</dc:creator>
  <cp:keywords/>
  <dc:description/>
  <cp:lastModifiedBy>Timur Magomedov</cp:lastModifiedBy>
  <cp:revision>2</cp:revision>
  <dcterms:created xsi:type="dcterms:W3CDTF">2023-04-26T14:29:00Z</dcterms:created>
  <dcterms:modified xsi:type="dcterms:W3CDTF">2023-04-26T14:45:00Z</dcterms:modified>
</cp:coreProperties>
</file>